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 1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84"/>
        <w:gridCol w:w="2484"/>
        <w:gridCol w:w="2484"/>
        <w:gridCol w:w="2484"/>
        <w:tblGridChange w:id="0">
          <w:tblGrid>
            <w:gridCol w:w="2484"/>
            <w:gridCol w:w="2484"/>
            <w:gridCol w:w="2484"/>
            <w:gridCol w:w="2484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elementi di cinematica, elementi di chimica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</w:t>
              <w:tab/>
              <w:t xml:space="preserve">Seconda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Tecnologia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Imparare ad imparare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l’alunno esplora e sperimenta, in laboratorio e all’aperto, lo svolgersi dei più comuni fenomeni, ne immagina e ne verifica le cause; ricerca soluzioni ai problemi, utilizzando le conoscenze acquisite.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L’alunno esplora e sperimenta lo svolgersi dei più comuni fenomeni.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Acquisisce conoscenze di base sulla struttura della materia.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effettuare esperienze sulla fisica del moto: traiettoria, velocità, accelerazione e vari tipi di moto.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Rilevare la presenza e comportamenti delle più comuni sostanze. Effettuare esperimenti, non pericolosi, sulle più comuni reazioni chimiche.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Saper leggere e interpretare la tavola periodica.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effettuare esperienze sulla fisica del moto: traiettoria, velocità, accelerazione e vari tipi di moto.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Saper individuare alcuni elementi sulla tavola periodica e riconoscerne le proprietà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Effettuare esperimenti, non pericolosi, sulle più comuni reazioni chimiche con l’aiuto dell’insegnante.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elementi di cinematica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gli elementi di fisica (traiettoria, velocità, accelerazione)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Elementi di chimica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gli elementi di chimica inorganica, le principali reazioni e trasformazioni chimiche.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gli elementi di chimica organica e le principali caratteristiche.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le caratteristiche della traiettoria, della velocità e dell’accelerazione nei moti più semplici.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il legame tra spazio, tempo e velocità nei moti più semplici.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gli elementi di base di chimica inorganica, le principali reazioni e trasformazioni chimiche.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gli elementi di base  di chimica organica e le principali caratteristiche.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Costruzioni di grafici relativi ai vari tipi di moto (con uso di carta milllimetrata e attraverso strumenti informatici)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Misurare il pH di alcuni liquidi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Ottobre-Gennaio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esperimenti con materiale povero; attività supportate da strumenti e sussidi audio-visivi e informatici; organizzazione e attuazione di attività di recupero/potenziamento a piccoli gruppi.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materiale povero per semplici esperimenti.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8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8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uThpP9hEh7OZfatAveC0TDQ7xg==">CgMxLjA4AHIhMXpXUndDM01ONkdBSVl3Vk9FZllvU3hFMHNGLVNtWmRW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2017-10-27T06:42:00Z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